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570"/>
        <w:gridCol w:w="3088"/>
      </w:tblGrid>
      <w:tr w:rsidR="00553920" w14:paraId="1147B63B" w14:textId="77777777" w:rsidTr="00553920">
        <w:trPr>
          <w:trHeight w:val="495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3A0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0CE14567" w14:textId="77777777" w:rsidR="00553920" w:rsidRDefault="00553920">
            <w:pPr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Hito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3A0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393041E8" w14:textId="77777777" w:rsidR="00553920" w:rsidRDefault="00553920">
            <w:pPr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Descripción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3A0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0B5D31AF" w14:textId="77777777" w:rsidR="00553920" w:rsidRDefault="00553920">
            <w:pPr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Fecha</w:t>
            </w:r>
          </w:p>
        </w:tc>
      </w:tr>
      <w:tr w:rsidR="00553920" w14:paraId="45D38691" w14:textId="77777777" w:rsidTr="00553920">
        <w:trPr>
          <w:trHeight w:val="81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0726BCFE" w14:textId="77777777" w:rsidR="00553920" w:rsidRDefault="00553920">
            <w:r>
              <w:rPr>
                <w:b/>
                <w:bCs/>
                <w:color w:val="7030A0"/>
                <w:sz w:val="24"/>
                <w:szCs w:val="24"/>
              </w:rPr>
              <w:t xml:space="preserve">Lanzamiento de convocatoria </w:t>
            </w:r>
            <w:r>
              <w:rPr>
                <w:color w:val="7030A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742D21A7" w14:textId="77777777" w:rsidR="00553920" w:rsidRPr="00553920" w:rsidRDefault="00553920">
            <w:r w:rsidRPr="00553920">
              <w:rPr>
                <w:color w:val="000000"/>
              </w:rPr>
              <w:t>Apertura de la convocatoria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02710B84" w14:textId="77777777" w:rsidR="00553920" w:rsidRPr="00553920" w:rsidRDefault="00553920">
            <w:r w:rsidRPr="00553920">
              <w:rPr>
                <w:color w:val="000000"/>
              </w:rPr>
              <w:t>Lunes 4 de diciembre de 2023</w:t>
            </w:r>
          </w:p>
        </w:tc>
      </w:tr>
      <w:tr w:rsidR="00553920" w14:paraId="6A1D3C5D" w14:textId="77777777" w:rsidTr="00553920">
        <w:trPr>
          <w:trHeight w:val="121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5EDE4AAF" w14:textId="77777777" w:rsidR="00553920" w:rsidRDefault="00553920">
            <w:r>
              <w:rPr>
                <w:b/>
                <w:bCs/>
                <w:color w:val="7030A0"/>
                <w:sz w:val="24"/>
                <w:szCs w:val="24"/>
              </w:rPr>
              <w:t xml:space="preserve">Evento de resolución de dudas </w:t>
            </w:r>
            <w:r>
              <w:rPr>
                <w:color w:val="7030A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10E3FC89" w14:textId="77777777" w:rsidR="00553920" w:rsidRPr="00553920" w:rsidRDefault="00553920">
            <w:r w:rsidRPr="00553920">
              <w:t>Se presentarán los retos y se solucionarán dudas sobre esas necesidades de negocio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155BC8E6" w14:textId="77777777" w:rsidR="00553920" w:rsidRPr="00553920" w:rsidRDefault="00553920" w:rsidP="003D102F">
            <w:pPr>
              <w:pStyle w:val="Prrafodelista"/>
              <w:numPr>
                <w:ilvl w:val="0"/>
                <w:numId w:val="1"/>
              </w:numPr>
              <w:contextualSpacing/>
            </w:pPr>
            <w:r w:rsidRPr="00553920">
              <w:t>14 de diciembre 4pm</w:t>
            </w:r>
          </w:p>
          <w:p w14:paraId="7D36CAB6" w14:textId="77777777" w:rsidR="00553920" w:rsidRPr="00553920" w:rsidRDefault="00553920" w:rsidP="003D102F">
            <w:pPr>
              <w:pStyle w:val="Prrafodelista"/>
              <w:numPr>
                <w:ilvl w:val="0"/>
                <w:numId w:val="1"/>
              </w:numPr>
              <w:contextualSpacing/>
            </w:pPr>
            <w:r w:rsidRPr="00553920">
              <w:t>Semana 22 al 26 de enero 2024</w:t>
            </w:r>
          </w:p>
          <w:p w14:paraId="3A0B99EF" w14:textId="77777777" w:rsidR="00553920" w:rsidRPr="00553920" w:rsidRDefault="00553920" w:rsidP="003D102F">
            <w:pPr>
              <w:pStyle w:val="Prrafodelista"/>
              <w:numPr>
                <w:ilvl w:val="0"/>
                <w:numId w:val="1"/>
              </w:numPr>
              <w:contextualSpacing/>
            </w:pPr>
            <w:r w:rsidRPr="00553920">
              <w:t>Semana 5 al 9 de febrero de 2024</w:t>
            </w:r>
          </w:p>
        </w:tc>
      </w:tr>
      <w:tr w:rsidR="00553920" w14:paraId="1D708A20" w14:textId="77777777" w:rsidTr="00553920">
        <w:trPr>
          <w:trHeight w:val="81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7EA1B41E" w14:textId="77777777" w:rsidR="00553920" w:rsidRDefault="00553920">
            <w:r>
              <w:rPr>
                <w:b/>
                <w:bCs/>
                <w:color w:val="7030A0"/>
                <w:sz w:val="24"/>
                <w:szCs w:val="24"/>
              </w:rPr>
              <w:t>Cierre de la convocatoria</w:t>
            </w:r>
            <w:r>
              <w:rPr>
                <w:color w:val="7030A0"/>
                <w:sz w:val="24"/>
                <w:szCs w:val="24"/>
              </w:rPr>
              <w:t xml:space="preserve"> 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1C87D82A" w14:textId="77777777" w:rsidR="00553920" w:rsidRPr="00553920" w:rsidRDefault="00553920">
            <w:r w:rsidRPr="00553920">
              <w:rPr>
                <w:color w:val="000000"/>
              </w:rPr>
              <w:t>Fecha máxima en que las empresas Interesadas se deben postular.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227C8113" w14:textId="77777777" w:rsidR="00553920" w:rsidRPr="00553920" w:rsidRDefault="00553920">
            <w:r w:rsidRPr="00553920">
              <w:rPr>
                <w:color w:val="000000"/>
              </w:rPr>
              <w:t>Martes 2 de abril de 2024</w:t>
            </w:r>
          </w:p>
        </w:tc>
      </w:tr>
      <w:tr w:rsidR="00553920" w14:paraId="05083209" w14:textId="77777777" w:rsidTr="00553920">
        <w:trPr>
          <w:trHeight w:val="495"/>
        </w:trPr>
        <w:tc>
          <w:tcPr>
            <w:tcW w:w="21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016FA766" w14:textId="77777777" w:rsidR="00553920" w:rsidRDefault="00553920">
            <w:r>
              <w:rPr>
                <w:b/>
                <w:bCs/>
                <w:color w:val="7030A0"/>
                <w:sz w:val="24"/>
                <w:szCs w:val="24"/>
              </w:rPr>
              <w:t>Evaluación:</w:t>
            </w:r>
            <w:r>
              <w:rPr>
                <w:color w:val="7030A0"/>
                <w:sz w:val="24"/>
                <w:szCs w:val="24"/>
              </w:rPr>
              <w:t xml:space="preserve">  </w:t>
            </w:r>
            <w:r>
              <w:rPr>
                <w:b/>
                <w:bCs/>
                <w:color w:val="7030A0"/>
                <w:sz w:val="24"/>
                <w:szCs w:val="24"/>
              </w:rPr>
              <w:t xml:space="preserve">lista corta </w:t>
            </w:r>
            <w:r>
              <w:rPr>
                <w:color w:val="7030A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3375A941" w14:textId="77777777" w:rsidR="00553920" w:rsidRPr="00553920" w:rsidRDefault="00553920">
            <w:r w:rsidRPr="00553920">
              <w:t>Se revela qué empresas continúan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</w:tcPr>
          <w:p w14:paraId="43EAFB1B" w14:textId="77777777" w:rsidR="00553920" w:rsidRPr="00553920" w:rsidRDefault="00553920">
            <w:r w:rsidRPr="00553920">
              <w:t>Miércoles 10 de abril de 2024</w:t>
            </w:r>
          </w:p>
          <w:p w14:paraId="28B00DA5" w14:textId="77777777" w:rsidR="00553920" w:rsidRPr="00553920" w:rsidRDefault="00553920"/>
        </w:tc>
      </w:tr>
      <w:tr w:rsidR="00553920" w14:paraId="11B31F40" w14:textId="77777777" w:rsidTr="0055392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43480" w14:textId="77777777" w:rsidR="00553920" w:rsidRDefault="00553920"/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530ED2F0" w14:textId="77777777" w:rsidR="00553920" w:rsidRPr="00553920" w:rsidRDefault="00553920">
            <w:r w:rsidRPr="00553920">
              <w:t>Se publican los criterios de calificación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F231E" w14:textId="77777777" w:rsidR="00553920" w:rsidRPr="00553920" w:rsidRDefault="00553920"/>
        </w:tc>
      </w:tr>
      <w:tr w:rsidR="00553920" w14:paraId="42DE077D" w14:textId="77777777" w:rsidTr="00553920">
        <w:trPr>
          <w:trHeight w:val="82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1FC29CB7" w14:textId="77777777" w:rsidR="00553920" w:rsidRDefault="00553920">
            <w:r>
              <w:rPr>
                <w:b/>
                <w:bCs/>
                <w:color w:val="7030A0"/>
                <w:sz w:val="24"/>
                <w:szCs w:val="24"/>
              </w:rPr>
              <w:t xml:space="preserve">Taller </w:t>
            </w:r>
          </w:p>
          <w:p w14:paraId="0802D061" w14:textId="77777777" w:rsidR="00553920" w:rsidRDefault="00553920">
            <w:r>
              <w:rPr>
                <w:b/>
                <w:bCs/>
                <w:color w:val="7030A0"/>
                <w:sz w:val="24"/>
                <w:szCs w:val="24"/>
              </w:rPr>
              <w:t xml:space="preserve">expertos </w:t>
            </w:r>
          </w:p>
          <w:p w14:paraId="6F00E00B" w14:textId="77777777" w:rsidR="00553920" w:rsidRDefault="00553920">
            <w:r>
              <w:rPr>
                <w:b/>
                <w:bCs/>
                <w:color w:val="7030A0"/>
                <w:sz w:val="24"/>
                <w:szCs w:val="24"/>
              </w:rPr>
              <w:t>día por reto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0F9FF8CA" w14:textId="54227BB0" w:rsidR="00553920" w:rsidRPr="00553920" w:rsidRDefault="00553920">
            <w:r w:rsidRPr="00553920">
              <w:rPr>
                <w:color w:val="000000"/>
              </w:rPr>
              <w:t>Sensibilización a Participantes</w:t>
            </w:r>
            <w:r>
              <w:rPr>
                <w:color w:val="000000"/>
              </w:rPr>
              <w:t xml:space="preserve"> profundizando en el reto.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07181B5A" w14:textId="77777777" w:rsidR="00553920" w:rsidRPr="00553920" w:rsidRDefault="00553920">
            <w:r w:rsidRPr="00553920">
              <w:rPr>
                <w:color w:val="000000"/>
              </w:rPr>
              <w:t>Del 22 al 6 de mayo de 2024</w:t>
            </w:r>
          </w:p>
        </w:tc>
      </w:tr>
      <w:tr w:rsidR="00553920" w14:paraId="0479B795" w14:textId="77777777" w:rsidTr="00553920">
        <w:trPr>
          <w:trHeight w:val="82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5AD21E4D" w14:textId="77777777" w:rsidR="00553920" w:rsidRDefault="00553920">
            <w:r>
              <w:rPr>
                <w:b/>
                <w:bCs/>
                <w:color w:val="7030A0"/>
                <w:sz w:val="24"/>
                <w:szCs w:val="24"/>
              </w:rPr>
              <w:t xml:space="preserve">Enviar ficha de idea innovadora 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49E14C49" w14:textId="77777777" w:rsidR="00553920" w:rsidRPr="00553920" w:rsidRDefault="00553920">
            <w:r w:rsidRPr="00553920">
              <w:rPr>
                <w:color w:val="000000"/>
              </w:rPr>
              <w:t>Participantes deben diligenciar y enviar al buzón del estudio la ficha respectiva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63385DF7" w14:textId="77777777" w:rsidR="00553920" w:rsidRPr="00553920" w:rsidRDefault="00553920">
            <w:r w:rsidRPr="00553920">
              <w:rPr>
                <w:color w:val="000000"/>
              </w:rPr>
              <w:t>Martes 14 de mayo de 2024</w:t>
            </w:r>
          </w:p>
        </w:tc>
      </w:tr>
      <w:tr w:rsidR="00553920" w14:paraId="658902A7" w14:textId="77777777" w:rsidTr="00553920">
        <w:trPr>
          <w:trHeight w:val="85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hideMark/>
          </w:tcPr>
          <w:p w14:paraId="4C84835A" w14:textId="77777777" w:rsidR="00553920" w:rsidRDefault="00553920">
            <w:pPr>
              <w:jc w:val="both"/>
            </w:pPr>
            <w:r>
              <w:rPr>
                <w:b/>
                <w:bCs/>
                <w:color w:val="7030A0"/>
                <w:sz w:val="24"/>
                <w:szCs w:val="24"/>
              </w:rPr>
              <w:t xml:space="preserve">Semana pitch </w:t>
            </w:r>
            <w:proofErr w:type="spellStart"/>
            <w:r>
              <w:rPr>
                <w:b/>
                <w:bCs/>
                <w:color w:val="7030A0"/>
                <w:sz w:val="24"/>
                <w:szCs w:val="24"/>
              </w:rPr>
              <w:t>day</w:t>
            </w:r>
            <w:proofErr w:type="spellEnd"/>
            <w:r>
              <w:rPr>
                <w:b/>
                <w:bCs/>
                <w:color w:val="7030A0"/>
                <w:sz w:val="24"/>
                <w:szCs w:val="24"/>
              </w:rPr>
              <w:t xml:space="preserve"> del reto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12B004B1" w14:textId="77777777" w:rsidR="00553920" w:rsidRPr="00553920" w:rsidRDefault="00553920">
            <w:r w:rsidRPr="00553920">
              <w:rPr>
                <w:color w:val="000000"/>
              </w:rPr>
              <w:t>Empresas hacen su pitch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05B0AA7C" w14:textId="77777777" w:rsidR="00553920" w:rsidRPr="00553920" w:rsidRDefault="00553920">
            <w:r w:rsidRPr="00553920">
              <w:rPr>
                <w:color w:val="000000"/>
              </w:rPr>
              <w:t>Del 20 de mayo al 31 de mayo de 2024</w:t>
            </w:r>
          </w:p>
        </w:tc>
      </w:tr>
      <w:tr w:rsidR="00553920" w14:paraId="14397A6E" w14:textId="77777777" w:rsidTr="00553920">
        <w:trPr>
          <w:trHeight w:val="85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hideMark/>
          </w:tcPr>
          <w:p w14:paraId="5437B5EE" w14:textId="77777777" w:rsidR="00553920" w:rsidRDefault="00553920">
            <w:pPr>
              <w:jc w:val="both"/>
            </w:pPr>
            <w:r>
              <w:rPr>
                <w:b/>
                <w:bCs/>
                <w:color w:val="7030A0"/>
                <w:sz w:val="24"/>
                <w:szCs w:val="24"/>
              </w:rPr>
              <w:t>Socialización Finalistas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784B4F90" w14:textId="77777777" w:rsidR="00553920" w:rsidRPr="00553920" w:rsidRDefault="00553920">
            <w:r w:rsidRPr="00553920">
              <w:rPr>
                <w:color w:val="000000"/>
              </w:rPr>
              <w:t>Envío de correo a todas las empresas participantes informando la continuidad o no en el proceso de innovación.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6" w:type="dxa"/>
              <w:left w:w="107" w:type="dxa"/>
              <w:bottom w:w="0" w:type="dxa"/>
              <w:right w:w="246" w:type="dxa"/>
            </w:tcMar>
            <w:vAlign w:val="center"/>
            <w:hideMark/>
          </w:tcPr>
          <w:p w14:paraId="7C383AEC" w14:textId="77777777" w:rsidR="00553920" w:rsidRPr="00553920" w:rsidRDefault="00553920">
            <w:r w:rsidRPr="00553920">
              <w:rPr>
                <w:color w:val="000000"/>
              </w:rPr>
              <w:t>Martes 18 de junio de 2024</w:t>
            </w:r>
          </w:p>
        </w:tc>
      </w:tr>
    </w:tbl>
    <w:p w14:paraId="4153DB95" w14:textId="77777777" w:rsidR="003F10D3" w:rsidRDefault="003F10D3"/>
    <w:sectPr w:rsidR="003F10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65DF"/>
    <w:multiLevelType w:val="hybridMultilevel"/>
    <w:tmpl w:val="09BA94A0"/>
    <w:lvl w:ilvl="0" w:tplc="33828F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C2A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9100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2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2D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F284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C0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018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6D65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20"/>
    <w:rsid w:val="003F10D3"/>
    <w:rsid w:val="00553920"/>
    <w:rsid w:val="006F4B8C"/>
    <w:rsid w:val="00A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150C"/>
  <w15:chartTrackingRefBased/>
  <w15:docId w15:val="{D3FADA0D-9343-4FBA-B965-5D09AD9E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2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列出段落 Car,列出段落1 Car,List Paragraph21 Car,Listeafsnit1 Car,Parágrafo da Lista1 Car,Ha Car,Cita textual Car"/>
    <w:basedOn w:val="Fuentedeprrafopredeter"/>
    <w:link w:val="Prrafodelista"/>
    <w:uiPriority w:val="34"/>
    <w:locked/>
    <w:rsid w:val="00553920"/>
    <w:rPr>
      <w:rFonts w:ascii="Calibri" w:hAnsi="Calibri" w:cs="Calibri"/>
    </w:rPr>
  </w:style>
  <w:style w:type="paragraph" w:styleId="Prrafodelista">
    <w:name w:val="List Paragraph"/>
    <w:aliases w:val="Bullet List,FooterText,numbered,List Paragraph1,Paragraphe de liste1,lp1,Bulletr List Paragraph,列出段落,列出段落1,List Paragraph21,Listeafsnit1,Parágrafo da Lista1,Ha,Cita textual,Lista vistosa - Énfasis 11,Normal. Viñetas,titulo 3,Bullet,HOJA"/>
    <w:basedOn w:val="Normal"/>
    <w:link w:val="PrrafodelistaCar"/>
    <w:uiPriority w:val="34"/>
    <w:qFormat/>
    <w:rsid w:val="00553920"/>
    <w:pPr>
      <w:ind w:left="72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B9B60CE1FFC347868B7ABE4257EE6F" ma:contentTypeVersion="18" ma:contentTypeDescription="Crear nuevo documento." ma:contentTypeScope="" ma:versionID="6b0cb77e97e9cf5614e6d6c1bd501af0">
  <xsd:schema xmlns:xsd="http://www.w3.org/2001/XMLSchema" xmlns:xs="http://www.w3.org/2001/XMLSchema" xmlns:p="http://schemas.microsoft.com/office/2006/metadata/properties" xmlns:ns2="962e7d4d-8ad6-4526-8fa4-1ada486a4a8d" xmlns:ns3="dbc1a0cf-86c4-4d46-b732-99f4ce5fa2d2" targetNamespace="http://schemas.microsoft.com/office/2006/metadata/properties" ma:root="true" ma:fieldsID="99d5672b8df549f661d0f8bf3914b843" ns2:_="" ns3:_="">
    <xsd:import namespace="962e7d4d-8ad6-4526-8fa4-1ada486a4a8d"/>
    <xsd:import namespace="dbc1a0cf-86c4-4d46-b732-99f4ce5fa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e7d4d-8ad6-4526-8fa4-1ada486a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192beb2-35a5-4af4-a5ae-50acbeb4e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a0cf-86c4-4d46-b732-99f4ce5fa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980e02-fe23-4e73-b96e-40998a0cbb4d}" ma:internalName="TaxCatchAll" ma:showField="CatchAllData" ma:web="dbc1a0cf-86c4-4d46-b732-99f4ce5fa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c1a0cf-86c4-4d46-b732-99f4ce5fa2d2"/>
    <lcf76f155ced4ddcb4097134ff3c332f xmlns="962e7d4d-8ad6-4526-8fa4-1ada486a4a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8D4640-855B-4FCA-92A8-FA41BBACB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5A593-2F70-4199-9DD1-920453DD8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e7d4d-8ad6-4526-8fa4-1ada486a4a8d"/>
    <ds:schemaRef ds:uri="dbc1a0cf-86c4-4d46-b732-99f4ce5fa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AA2FF-2B38-4B0C-A272-4A95C75C35D7}">
  <ds:schemaRefs>
    <ds:schemaRef ds:uri="http://schemas.microsoft.com/office/2006/metadata/properties"/>
    <ds:schemaRef ds:uri="http://schemas.microsoft.com/office/infopath/2007/PartnerControls"/>
    <ds:schemaRef ds:uri="dbc1a0cf-86c4-4d46-b732-99f4ce5fa2d2"/>
    <ds:schemaRef ds:uri="962e7d4d-8ad6-4526-8fa4-1ada486a4a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Andres Gomez Bonilla</dc:creator>
  <cp:keywords/>
  <dc:description/>
  <cp:lastModifiedBy>Carlos Andres Gomez Bonilla</cp:lastModifiedBy>
  <cp:revision>1</cp:revision>
  <dcterms:created xsi:type="dcterms:W3CDTF">2024-03-12T14:04:00Z</dcterms:created>
  <dcterms:modified xsi:type="dcterms:W3CDTF">2024-03-12T14:10:00Z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0x010100E3B9B60CE1FFC347868B7ABE4257EE6F</vt:lpwstr>
  </property>
</Properties>
</file>